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苏州时拓达精密汽车模具有限公司</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苏州时拓达精密汽车模具有限公司：</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因你单位无法联系，现依法向你单位公告送达NO.202407010《社会保险基金先行支付追偿告知书》，自公告之日起经过30日即视为送达。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单位未依法为职工孙周强缴纳工伤保险费，孙周强于2015年11月14日发生事故，经苏州工业园区劳动和社会保障局认定为工伤。因你单位未向职工支付工伤保险待遇，我中心根据职工申请于2020年4月17日向该工伤职工垫付了工伤保险待遇项目中应当由工伤保险基金支付的项目共53636元。根据规定，我中心有权就垫付的费用向你单位追偿。根据《中华人民共和国社会保险法》第四十一条、《社会保险基金先行支付暂行办法》第十三条规定，我中心拟责令你单位依法向我中心偿还工伤保险待遇先行支付款53636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DD27C4" w:rsidP="00DD27C4">
      <w:pPr>
        <w:spacing w:line="5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6E4" w:rsidRDefault="002616E4" w:rsidP="0017089C">
      <w:r>
        <w:separator/>
      </w:r>
    </w:p>
  </w:endnote>
  <w:endnote w:type="continuationSeparator" w:id="1">
    <w:p w:rsidR="002616E4" w:rsidRDefault="002616E4"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12E18C9C-85C4-49B7-A7EF-FDFAF321C4E4}"/>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6E4" w:rsidRDefault="002616E4" w:rsidP="0017089C">
      <w:r>
        <w:separator/>
      </w:r>
    </w:p>
  </w:footnote>
  <w:footnote w:type="continuationSeparator" w:id="1">
    <w:p w:rsidR="002616E4" w:rsidRDefault="002616E4"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2616E4"/>
    <w:rsid w:val="00812D4C"/>
    <w:rsid w:val="00D54BF8"/>
    <w:rsid w:val="00DD27C4"/>
    <w:rsid w:val="00DD3399"/>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DD27C4"/>
    <w:rPr>
      <w:rFonts w:ascii="宋体" w:eastAsia="宋体"/>
      <w:sz w:val="18"/>
      <w:szCs w:val="18"/>
    </w:rPr>
  </w:style>
  <w:style w:type="character" w:customStyle="1" w:styleId="Char1">
    <w:name w:val="文档结构图 Char"/>
    <w:basedOn w:val="a0"/>
    <w:link w:val="a7"/>
    <w:rsid w:val="00DD27C4"/>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